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9B32EB" w:rsidRPr="009B32EB" w14:paraId="0CB08B9A" w14:textId="77777777" w:rsidTr="009B32E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B32EB" w:rsidRPr="009B32EB" w14:paraId="53DE6EF8"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670"/>
                  </w:tblGrid>
                  <w:tr w:rsidR="009B32EB" w:rsidRPr="009B32EB" w14:paraId="324CC4E2" w14:textId="77777777">
                    <w:trPr>
                      <w:trHeight w:val="15"/>
                    </w:trPr>
                    <w:tc>
                      <w:tcPr>
                        <w:tcW w:w="225" w:type="dxa"/>
                        <w:hideMark/>
                      </w:tcPr>
                      <w:p w14:paraId="69D38231" w14:textId="77777777" w:rsidR="009B32EB" w:rsidRPr="009B32EB" w:rsidRDefault="009B32EB" w:rsidP="009B32EB">
                        <w:pPr>
                          <w:spacing w:after="0" w:line="15" w:lineRule="atLeast"/>
                          <w:jc w:val="center"/>
                          <w:rPr>
                            <w:rFonts w:ascii="Calibri" w:eastAsia="Times New Roman" w:hAnsi="Calibri" w:cs="Calibri"/>
                          </w:rPr>
                        </w:pPr>
                        <w:r w:rsidRPr="009B32EB">
                          <w:rPr>
                            <w:rFonts w:ascii="Calibri" w:eastAsia="Times New Roman" w:hAnsi="Calibri" w:cs="Times New Roman"/>
                            <w:noProof/>
                          </w:rPr>
                          <w:drawing>
                            <wp:inline distT="0" distB="0" distL="0" distR="0" wp14:anchorId="497DA7EC" wp14:editId="749FE9C3">
                              <wp:extent cx="1397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7236905A" w14:textId="77777777" w:rsidR="009B32EB" w:rsidRPr="009B32EB" w:rsidRDefault="009B32EB" w:rsidP="009B32EB">
                        <w:pPr>
                          <w:spacing w:after="0" w:line="240" w:lineRule="auto"/>
                          <w:jc w:val="center"/>
                          <w:rPr>
                            <w:rFonts w:ascii="Calibri" w:eastAsia="Times New Roman" w:hAnsi="Calibri" w:cs="Times New Roman"/>
                          </w:rPr>
                        </w:pPr>
                        <w:r w:rsidRPr="009B32EB">
                          <w:rPr>
                            <w:rFonts w:ascii="Calibri" w:eastAsia="Times New Roman" w:hAnsi="Calibri" w:cs="Times New Roman"/>
                            <w:noProof/>
                          </w:rPr>
                          <w:drawing>
                            <wp:inline distT="0" distB="0" distL="0" distR="0" wp14:anchorId="35D7E6A9" wp14:editId="36B8AEF2">
                              <wp:extent cx="1689100" cy="1689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inline>
                          </w:drawing>
                        </w:r>
                      </w:p>
                    </w:tc>
                  </w:tr>
                  <w:tr w:rsidR="009B32EB" w:rsidRPr="009B32EB" w14:paraId="1A6D6666" w14:textId="77777777">
                    <w:trPr>
                      <w:trHeight w:val="75"/>
                    </w:trPr>
                    <w:tc>
                      <w:tcPr>
                        <w:tcW w:w="75" w:type="dxa"/>
                        <w:hideMark/>
                      </w:tcPr>
                      <w:p w14:paraId="4629D310" w14:textId="77777777" w:rsidR="009B32EB" w:rsidRPr="009B32EB" w:rsidRDefault="009B32EB" w:rsidP="009B32EB">
                        <w:pPr>
                          <w:spacing w:after="0" w:line="15" w:lineRule="atLeast"/>
                          <w:jc w:val="center"/>
                          <w:rPr>
                            <w:rFonts w:ascii="Calibri" w:eastAsia="Times New Roman" w:hAnsi="Calibri" w:cs="Times New Roman"/>
                          </w:rPr>
                        </w:pPr>
                        <w:r w:rsidRPr="009B32EB">
                          <w:rPr>
                            <w:rFonts w:ascii="Calibri" w:eastAsia="Times New Roman" w:hAnsi="Calibri" w:cs="Times New Roman"/>
                            <w:noProof/>
                          </w:rPr>
                          <w:drawing>
                            <wp:inline distT="0" distB="0" distL="0" distR="0" wp14:anchorId="661C53AD" wp14:editId="67C304EA">
                              <wp:extent cx="444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4D92F929" w14:textId="77777777" w:rsidR="009B32EB" w:rsidRPr="009B32EB" w:rsidRDefault="009B32EB" w:rsidP="009B32EB">
                        <w:pPr>
                          <w:spacing w:after="0" w:line="15" w:lineRule="atLeast"/>
                          <w:jc w:val="center"/>
                          <w:rPr>
                            <w:rFonts w:ascii="Calibri" w:eastAsia="Times New Roman" w:hAnsi="Calibri" w:cs="Times New Roman"/>
                          </w:rPr>
                        </w:pPr>
                        <w:r w:rsidRPr="009B32EB">
                          <w:rPr>
                            <w:rFonts w:ascii="Calibri" w:eastAsia="Times New Roman" w:hAnsi="Calibri" w:cs="Times New Roman"/>
                            <w:noProof/>
                          </w:rPr>
                          <w:drawing>
                            <wp:inline distT="0" distB="0" distL="0" distR="0" wp14:anchorId="3FA06285" wp14:editId="06F0562C">
                              <wp:extent cx="6350" cy="44450"/>
                              <wp:effectExtent l="0" t="0" r="317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71FE1BFC"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b/>
                      <w:bCs/>
                      <w:color w:val="EF7061"/>
                      <w:sz w:val="30"/>
                      <w:szCs w:val="30"/>
                    </w:rPr>
                    <w:t>MARCH COUNCIL CONNECTIONS</w:t>
                  </w:r>
                </w:p>
                <w:p w14:paraId="3C8496F2" w14:textId="77777777" w:rsidR="009B32EB" w:rsidRPr="009B32EB" w:rsidRDefault="009B32EB" w:rsidP="009B32EB">
                  <w:pPr>
                    <w:spacing w:after="0" w:line="240" w:lineRule="auto"/>
                    <w:jc w:val="center"/>
                    <w:rPr>
                      <w:rFonts w:ascii="Arial" w:eastAsia="Times New Roman" w:hAnsi="Arial" w:cs="Arial"/>
                      <w:color w:val="403F42"/>
                      <w:sz w:val="18"/>
                      <w:szCs w:val="18"/>
                    </w:rPr>
                  </w:pPr>
                </w:p>
                <w:p w14:paraId="459F9A41" w14:textId="77777777" w:rsidR="009B32EB" w:rsidRPr="009B32EB" w:rsidRDefault="009B32EB" w:rsidP="009B32EB">
                  <w:pPr>
                    <w:spacing w:after="0" w:line="240" w:lineRule="auto"/>
                    <w:jc w:val="center"/>
                    <w:rPr>
                      <w:rFonts w:ascii="Arial" w:eastAsia="Times New Roman" w:hAnsi="Arial" w:cs="Arial"/>
                      <w:color w:val="403F42"/>
                      <w:sz w:val="18"/>
                      <w:szCs w:val="18"/>
                    </w:rPr>
                  </w:pPr>
                </w:p>
                <w:p w14:paraId="16ED8F60"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b/>
                      <w:bCs/>
                      <w:color w:val="EF7061"/>
                      <w:sz w:val="20"/>
                      <w:szCs w:val="20"/>
                    </w:rPr>
                    <w:t xml:space="preserve">Financial Update </w:t>
                  </w:r>
                </w:p>
                <w:p w14:paraId="32A20E99"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b/>
                      <w:bCs/>
                      <w:color w:val="EF7061"/>
                      <w:sz w:val="20"/>
                      <w:szCs w:val="20"/>
                    </w:rPr>
                    <w:t>Income to Date</w:t>
                  </w:r>
                  <w:r w:rsidRPr="009B32EB">
                    <w:rPr>
                      <w:rFonts w:ascii="Arial" w:eastAsia="Times New Roman" w:hAnsi="Arial" w:cs="Arial"/>
                      <w:color w:val="EF7061"/>
                      <w:sz w:val="20"/>
                      <w:szCs w:val="20"/>
                    </w:rPr>
                    <w:t xml:space="preserve"> (1/1/22-2/28/22)</w:t>
                  </w:r>
                  <w:r w:rsidRPr="009B32EB">
                    <w:rPr>
                      <w:rFonts w:ascii="Arial" w:eastAsia="Times New Roman" w:hAnsi="Arial" w:cs="Arial"/>
                      <w:color w:val="403F42"/>
                      <w:sz w:val="18"/>
                      <w:szCs w:val="18"/>
                    </w:rPr>
                    <w:t xml:space="preserve"> </w:t>
                  </w:r>
                </w:p>
                <w:p w14:paraId="0E16CA51"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Actual Income                                               $92,343</w:t>
                  </w:r>
                </w:p>
                <w:p w14:paraId="1B5C4AE3"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Budgeted Income to Date                              $89,028 ($3,315 over budgeted estimates)</w:t>
                  </w:r>
                </w:p>
                <w:p w14:paraId="3EB1A88D"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409C0B01"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b/>
                      <w:bCs/>
                      <w:color w:val="EF7061"/>
                      <w:sz w:val="20"/>
                      <w:szCs w:val="20"/>
                    </w:rPr>
                    <w:t>Expenditures to Date</w:t>
                  </w:r>
                  <w:r w:rsidRPr="009B32EB">
                    <w:rPr>
                      <w:rFonts w:ascii="Arial" w:eastAsia="Times New Roman" w:hAnsi="Arial" w:cs="Arial"/>
                      <w:color w:val="EF7061"/>
                      <w:sz w:val="20"/>
                      <w:szCs w:val="20"/>
                    </w:rPr>
                    <w:t xml:space="preserve"> (1/1/22-2/28/22)</w:t>
                  </w:r>
                  <w:r w:rsidRPr="009B32EB">
                    <w:rPr>
                      <w:rFonts w:ascii="Arial" w:eastAsia="Times New Roman" w:hAnsi="Arial" w:cs="Arial"/>
                      <w:color w:val="403F42"/>
                      <w:sz w:val="18"/>
                      <w:szCs w:val="18"/>
                    </w:rPr>
                    <w:t xml:space="preserve"> </w:t>
                  </w:r>
                </w:p>
                <w:p w14:paraId="3D5F00C7"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Actual Expenditures                                      $67,111</w:t>
                  </w:r>
                </w:p>
                <w:p w14:paraId="00AD9CDA"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Budgeted Expenditures                                 $66,859 ($253 under budgeted estimates)</w:t>
                  </w:r>
                </w:p>
                <w:p w14:paraId="1F670068"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4D876BE0"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Thank you for your continued faithful financial support of the ministries of King of Glory.</w:t>
                  </w:r>
                </w:p>
                <w:p w14:paraId="5F424A66"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0D2D214C"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Your congregation council met on March 8 for its regularly scheduled meeting. This is a review discussed items for your information:</w:t>
                  </w:r>
                </w:p>
                <w:p w14:paraId="176305DA" w14:textId="77777777" w:rsidR="009B32EB" w:rsidRPr="009B32EB" w:rsidRDefault="009B32EB" w:rsidP="009B32EB">
                  <w:pPr>
                    <w:spacing w:after="0" w:line="240" w:lineRule="auto"/>
                    <w:rPr>
                      <w:rFonts w:ascii="Arial" w:eastAsia="Times New Roman" w:hAnsi="Arial" w:cs="Arial"/>
                      <w:color w:val="403F42"/>
                      <w:sz w:val="18"/>
                      <w:szCs w:val="18"/>
                    </w:rPr>
                  </w:pPr>
                </w:p>
                <w:p w14:paraId="4CE43A3C"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It has been a dream of many members, and for many years, to develop the back lot of King of Glory. The question has always been: What can we do with this parcel of land that we own? Should it be developed with housing for seniors or working-</w:t>
                  </w:r>
                  <w:proofErr w:type="gramStart"/>
                  <w:r w:rsidRPr="009B32EB">
                    <w:rPr>
                      <w:rFonts w:ascii="Arial" w:eastAsia="Times New Roman" w:hAnsi="Arial" w:cs="Arial"/>
                      <w:color w:val="403F42"/>
                      <w:sz w:val="20"/>
                      <w:szCs w:val="20"/>
                    </w:rPr>
                    <w:t>low income</w:t>
                  </w:r>
                  <w:proofErr w:type="gramEnd"/>
                  <w:r w:rsidRPr="009B32EB">
                    <w:rPr>
                      <w:rFonts w:ascii="Arial" w:eastAsia="Times New Roman" w:hAnsi="Arial" w:cs="Arial"/>
                      <w:color w:val="403F42"/>
                      <w:sz w:val="20"/>
                      <w:szCs w:val="20"/>
                    </w:rPr>
                    <w:t xml:space="preserve"> families? Should we expand the Community Garden? Should we develop a play area for neighborhood children? So many great ideas over the years! The Council, acting as the fiduciary body on behalf of King of Glory, has signed a Memorandum of Understanding (MOU) with LEAP Charities, a 501</w:t>
                  </w:r>
                  <w:proofErr w:type="gramStart"/>
                  <w:r w:rsidRPr="009B32EB">
                    <w:rPr>
                      <w:rFonts w:ascii="Arial" w:eastAsia="Times New Roman" w:hAnsi="Arial" w:cs="Arial"/>
                      <w:color w:val="403F42"/>
                      <w:sz w:val="20"/>
                      <w:szCs w:val="20"/>
                    </w:rPr>
                    <w:t>C(</w:t>
                  </w:r>
                  <w:proofErr w:type="gramEnd"/>
                  <w:r w:rsidRPr="009B32EB">
                    <w:rPr>
                      <w:rFonts w:ascii="Arial" w:eastAsia="Times New Roman" w:hAnsi="Arial" w:cs="Arial"/>
                      <w:color w:val="403F42"/>
                      <w:sz w:val="20"/>
                      <w:szCs w:val="20"/>
                    </w:rPr>
                    <w:t>3) non-profit organization in the Treasure Valley to begin a feasibility study of a potential affordable housing project. The Memorandum of Understanding is a critical first step in considering whether or not such a project is even possible. Please remember that this is a preliminary feasibility study. There is no stated obligation for King of Glory. Once the feasibility study has been completed, it will be shared with the congregation. Where is God leading us regarding our property assets? This is a practical and business-wise first step in making important decisions for the future of this congregation.</w:t>
                  </w:r>
                </w:p>
                <w:p w14:paraId="6A9AF8EB"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564C4981"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xml:space="preserve">Progress continues on the upgrade of the audio and visual systems approved in last summer’s special congregation meeting. Most noticeable is the installation of the monitors in the sanctuary. Backordered equipment is arriving. The next steps are installation of network cabling and additional electrical power. </w:t>
                  </w:r>
                  <w:proofErr w:type="spellStart"/>
                  <w:r w:rsidRPr="009B32EB">
                    <w:rPr>
                      <w:rFonts w:ascii="Arial" w:eastAsia="Times New Roman" w:hAnsi="Arial" w:cs="Arial"/>
                      <w:color w:val="403F42"/>
                      <w:sz w:val="20"/>
                      <w:szCs w:val="20"/>
                    </w:rPr>
                    <w:t>Neurilink</w:t>
                  </w:r>
                  <w:proofErr w:type="spellEnd"/>
                  <w:r w:rsidRPr="009B32EB">
                    <w:rPr>
                      <w:rFonts w:ascii="Arial" w:eastAsia="Times New Roman" w:hAnsi="Arial" w:cs="Arial"/>
                      <w:color w:val="403F42"/>
                      <w:sz w:val="20"/>
                      <w:szCs w:val="20"/>
                    </w:rPr>
                    <w:t>, the company overseeing the project, is installing the cabling and an electrical contractor has been hired to ensure proper power needs are available for the new equipment.</w:t>
                  </w:r>
                </w:p>
                <w:p w14:paraId="47ACB68D"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47E40D26"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Georgia" w:eastAsia="Times New Roman" w:hAnsi="Georgia" w:cs="Arial"/>
                      <w:color w:val="403F42"/>
                      <w:sz w:val="20"/>
                      <w:szCs w:val="20"/>
                    </w:rPr>
                    <w:t> </w:t>
                  </w:r>
                  <w:proofErr w:type="gramStart"/>
                  <w:r w:rsidRPr="009B32EB">
                    <w:rPr>
                      <w:rFonts w:ascii="Arial" w:eastAsia="Times New Roman" w:hAnsi="Arial" w:cs="Arial"/>
                      <w:color w:val="403F42"/>
                      <w:sz w:val="20"/>
                      <w:szCs w:val="20"/>
                    </w:rPr>
                    <w:t>And,</w:t>
                  </w:r>
                  <w:proofErr w:type="gramEnd"/>
                  <w:r w:rsidRPr="009B32EB">
                    <w:rPr>
                      <w:rFonts w:ascii="Arial" w:eastAsia="Times New Roman" w:hAnsi="Arial" w:cs="Arial"/>
                      <w:color w:val="403F42"/>
                      <w:sz w:val="20"/>
                      <w:szCs w:val="20"/>
                    </w:rPr>
                    <w:t xml:space="preserve"> speaking of projects! At the 2022 Annual Meeting I proposed the formation of a Hybrid Task Force to study how we can best use the new equipment. On Sundays April 3 and April 10 between services, you are invited to participate in discussion of the concept “hybrid” church with a “show and tell” of our new equipment. Discussions will be based on the book by Dave Daubert, Becoming a Hybrid Church. The book is available from the Church Office or can be picked up on Sundays in the narthex. This book is an excellent resource for living and growing into God’s future of on-the-ground and on-line and will be a valuable aid in our discussion of “hybrid.” These two Sundays will be a time to “think” outside the box and dream how our new technology can truly enhance our worship time, as well as the potential of enhancing other ministries at King of </w:t>
                  </w:r>
                  <w:proofErr w:type="gramStart"/>
                  <w:r w:rsidRPr="009B32EB">
                    <w:rPr>
                      <w:rFonts w:ascii="Arial" w:eastAsia="Times New Roman" w:hAnsi="Arial" w:cs="Arial"/>
                      <w:color w:val="403F42"/>
                      <w:sz w:val="20"/>
                      <w:szCs w:val="20"/>
                    </w:rPr>
                    <w:t>Glory, or</w:t>
                  </w:r>
                  <w:proofErr w:type="gramEnd"/>
                  <w:r w:rsidRPr="009B32EB">
                    <w:rPr>
                      <w:rFonts w:ascii="Arial" w:eastAsia="Times New Roman" w:hAnsi="Arial" w:cs="Arial"/>
                      <w:color w:val="403F42"/>
                      <w:sz w:val="20"/>
                      <w:szCs w:val="20"/>
                    </w:rPr>
                    <w:t xml:space="preserve"> introducing new ways of ministry. Plan to attend!</w:t>
                  </w:r>
                  <w:r w:rsidRPr="009B32EB">
                    <w:rPr>
                      <w:rFonts w:ascii="Arial" w:eastAsia="Times New Roman" w:hAnsi="Arial" w:cs="Arial"/>
                      <w:color w:val="403F42"/>
                      <w:sz w:val="18"/>
                      <w:szCs w:val="18"/>
                    </w:rPr>
                    <w:t xml:space="preserve"> </w:t>
                  </w:r>
                </w:p>
                <w:p w14:paraId="12D9410D"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33A145D2"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Georgia" w:eastAsia="Times New Roman" w:hAnsi="Georgia" w:cs="Arial"/>
                      <w:color w:val="403F42"/>
                      <w:sz w:val="20"/>
                      <w:szCs w:val="20"/>
                    </w:rPr>
                    <w:t> </w:t>
                  </w:r>
                  <w:r w:rsidRPr="009B32EB">
                    <w:rPr>
                      <w:rFonts w:ascii="Arial" w:eastAsia="Times New Roman" w:hAnsi="Arial" w:cs="Arial"/>
                      <w:color w:val="403F42"/>
                      <w:sz w:val="20"/>
                      <w:szCs w:val="20"/>
                    </w:rPr>
                    <w:t>Approved</w:t>
                  </w:r>
                  <w:r w:rsidRPr="009B32EB">
                    <w:rPr>
                      <w:rFonts w:ascii="Arial" w:eastAsia="Times New Roman" w:hAnsi="Arial" w:cs="Arial"/>
                      <w:b/>
                      <w:bCs/>
                      <w:color w:val="403F42"/>
                      <w:sz w:val="20"/>
                      <w:szCs w:val="20"/>
                    </w:rPr>
                    <w:t xml:space="preserve"> </w:t>
                  </w:r>
                  <w:r w:rsidRPr="009B32EB">
                    <w:rPr>
                      <w:rFonts w:ascii="Arial" w:eastAsia="Times New Roman" w:hAnsi="Arial" w:cs="Arial"/>
                      <w:color w:val="403F42"/>
                      <w:sz w:val="20"/>
                      <w:szCs w:val="20"/>
                    </w:rPr>
                    <w:t xml:space="preserve">a letter drafted by Nick Tinker supporting Interfaith Sanctuary’s request to re-locate their shelter and services to a larger facility in the downtown area of Boise. This new location will enable Interfaith to expand their services for Boise’s homeless population. The letter of support for this </w:t>
                  </w:r>
                  <w:r w:rsidRPr="009B32EB">
                    <w:rPr>
                      <w:rFonts w:ascii="Arial" w:eastAsia="Times New Roman" w:hAnsi="Arial" w:cs="Arial"/>
                      <w:color w:val="403F42"/>
                      <w:sz w:val="20"/>
                      <w:szCs w:val="20"/>
                    </w:rPr>
                    <w:lastRenderedPageBreak/>
                    <w:t>requested zoning change approval was sent to the Interfaith Sanctuary and the mayor and city council of Boise. This is an important show of support for this community program. Please contact me if you want to read this letter of support.</w:t>
                  </w:r>
                  <w:r w:rsidRPr="009B32EB">
                    <w:rPr>
                      <w:rFonts w:ascii="Arial" w:eastAsia="Times New Roman" w:hAnsi="Arial" w:cs="Arial"/>
                      <w:color w:val="403F42"/>
                      <w:sz w:val="18"/>
                      <w:szCs w:val="18"/>
                    </w:rPr>
                    <w:t xml:space="preserve"> </w:t>
                  </w:r>
                </w:p>
                <w:p w14:paraId="4D0068AC"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23BC7118" w14:textId="77777777" w:rsidR="009B32EB" w:rsidRPr="009B32EB" w:rsidRDefault="009B32EB" w:rsidP="009B32EB">
                  <w:pPr>
                    <w:spacing w:after="0" w:line="240" w:lineRule="auto"/>
                    <w:rPr>
                      <w:rFonts w:ascii="Arial" w:eastAsia="Times New Roman" w:hAnsi="Arial" w:cs="Arial"/>
                      <w:color w:val="403F42"/>
                      <w:sz w:val="18"/>
                      <w:szCs w:val="18"/>
                    </w:rPr>
                  </w:pPr>
                  <w:proofErr w:type="gramStart"/>
                  <w:r w:rsidRPr="009B32EB">
                    <w:rPr>
                      <w:rFonts w:ascii="Arial" w:eastAsia="Times New Roman" w:hAnsi="Arial" w:cs="Arial"/>
                      <w:color w:val="403F42"/>
                      <w:sz w:val="20"/>
                      <w:szCs w:val="20"/>
                    </w:rPr>
                    <w:t>In approving the 2022 budget at our Annual Meeting, it</w:t>
                  </w:r>
                  <w:proofErr w:type="gramEnd"/>
                  <w:r w:rsidRPr="009B32EB">
                    <w:rPr>
                      <w:rFonts w:ascii="Arial" w:eastAsia="Times New Roman" w:hAnsi="Arial" w:cs="Arial"/>
                      <w:color w:val="403F42"/>
                      <w:sz w:val="20"/>
                      <w:szCs w:val="20"/>
                    </w:rPr>
                    <w:t xml:space="preserve"> was decided that the practice of providing King of Glory members with a subscription to the Living Lutheran would be discontinued. We are in the process of determining when the current subscriptions expire. Families will be notified on the renewal process.</w:t>
                  </w:r>
                </w:p>
                <w:p w14:paraId="0F4B5AB2" w14:textId="77777777" w:rsidR="009B32EB" w:rsidRPr="009B32EB" w:rsidRDefault="009B32EB" w:rsidP="009B32EB">
                  <w:pPr>
                    <w:spacing w:after="0" w:line="240" w:lineRule="auto"/>
                    <w:rPr>
                      <w:rFonts w:ascii="Arial" w:eastAsia="Times New Roman" w:hAnsi="Arial" w:cs="Arial"/>
                      <w:color w:val="403F42"/>
                      <w:sz w:val="18"/>
                      <w:szCs w:val="18"/>
                    </w:rPr>
                  </w:pPr>
                </w:p>
                <w:p w14:paraId="58E32240"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xml:space="preserve">After extensive discussion, it was decided that the current Covid protocol behavior of requiring vaccinations and wearing masks will be continued. This was a difficult decision to make because we are all anxious to </w:t>
                  </w:r>
                  <w:proofErr w:type="gramStart"/>
                  <w:r w:rsidRPr="009B32EB">
                    <w:rPr>
                      <w:rFonts w:ascii="Arial" w:eastAsia="Times New Roman" w:hAnsi="Arial" w:cs="Arial"/>
                      <w:color w:val="403F42"/>
                      <w:sz w:val="20"/>
                      <w:szCs w:val="20"/>
                    </w:rPr>
                    <w:t>once again go back</w:t>
                  </w:r>
                  <w:proofErr w:type="gramEnd"/>
                  <w:r w:rsidRPr="009B32EB">
                    <w:rPr>
                      <w:rFonts w:ascii="Arial" w:eastAsia="Times New Roman" w:hAnsi="Arial" w:cs="Arial"/>
                      <w:color w:val="403F42"/>
                      <w:sz w:val="20"/>
                      <w:szCs w:val="20"/>
                    </w:rPr>
                    <w:t xml:space="preserve"> to “normal.” However, this conclusion was made to ensure the continued safety of this entire body of faith. Evaluation of Covid risk factors in our area will continue to be monitored. Thank you for so faithfully supporting King of Glory’s Covid protocol over the past two years. </w:t>
                  </w:r>
                </w:p>
                <w:p w14:paraId="1CA5C4F3"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1E814DA2"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xml:space="preserve">One more item of information! Suez Water Company has alerted our Property Committee that they will be doing maintenance and construction projects during their “construction” season,” February, </w:t>
                  </w:r>
                  <w:proofErr w:type="gramStart"/>
                  <w:r w:rsidRPr="009B32EB">
                    <w:rPr>
                      <w:rFonts w:ascii="Arial" w:eastAsia="Times New Roman" w:hAnsi="Arial" w:cs="Arial"/>
                      <w:color w:val="403F42"/>
                      <w:sz w:val="20"/>
                      <w:szCs w:val="20"/>
                    </w:rPr>
                    <w:t>March</w:t>
                  </w:r>
                  <w:proofErr w:type="gramEnd"/>
                  <w:r w:rsidRPr="009B32EB">
                    <w:rPr>
                      <w:rFonts w:ascii="Arial" w:eastAsia="Times New Roman" w:hAnsi="Arial" w:cs="Arial"/>
                      <w:color w:val="403F42"/>
                      <w:sz w:val="20"/>
                      <w:szCs w:val="20"/>
                    </w:rPr>
                    <w:t xml:space="preserve"> and April. They will be painting the water tank and making improvements to the equipment on their property east of the church. They also plan to replace a pipeline that runs from their water tank to Maple Grove Road on the south end of our property. This project will close access at the “south” entrance to the church for a few days. Thank you for your patience during this construction time. </w:t>
                  </w:r>
                </w:p>
                <w:p w14:paraId="618C11E5"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 </w:t>
                  </w:r>
                </w:p>
                <w:p w14:paraId="55977A6C"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Thank you for your prayer support for the leadership of this community of faith!</w:t>
                  </w:r>
                </w:p>
                <w:p w14:paraId="2F406138" w14:textId="77777777" w:rsidR="009B32EB" w:rsidRPr="009B32EB" w:rsidRDefault="009B32EB" w:rsidP="009B32EB">
                  <w:pPr>
                    <w:spacing w:after="0" w:line="240" w:lineRule="auto"/>
                    <w:rPr>
                      <w:rFonts w:ascii="Arial" w:eastAsia="Times New Roman" w:hAnsi="Arial" w:cs="Arial"/>
                      <w:color w:val="403F42"/>
                      <w:sz w:val="18"/>
                      <w:szCs w:val="18"/>
                    </w:rPr>
                  </w:pPr>
                  <w:r w:rsidRPr="009B32EB">
                    <w:rPr>
                      <w:rFonts w:ascii="Arial" w:eastAsia="Times New Roman" w:hAnsi="Arial" w:cs="Arial"/>
                      <w:color w:val="403F42"/>
                      <w:sz w:val="20"/>
                      <w:szCs w:val="20"/>
                    </w:rPr>
                    <w:t>Mary Rickerd, President</w:t>
                  </w:r>
                </w:p>
              </w:tc>
            </w:tr>
          </w:tbl>
          <w:p w14:paraId="175400D4" w14:textId="77777777" w:rsidR="009B32EB" w:rsidRPr="009B32EB" w:rsidRDefault="009B32EB" w:rsidP="009B32EB">
            <w:pPr>
              <w:spacing w:after="0" w:line="240" w:lineRule="auto"/>
              <w:rPr>
                <w:rFonts w:ascii="Calibri" w:eastAsia="Times New Roman" w:hAnsi="Calibri" w:cs="Times New Roman"/>
              </w:rPr>
            </w:pPr>
          </w:p>
        </w:tc>
      </w:tr>
    </w:tbl>
    <w:p w14:paraId="6BE84A77" w14:textId="77777777" w:rsidR="00D45BC9" w:rsidRDefault="00D45BC9"/>
    <w:sectPr w:rsidR="00D4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EB"/>
    <w:rsid w:val="009B32EB"/>
    <w:rsid w:val="00D4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EE50"/>
  <w15:chartTrackingRefBased/>
  <w15:docId w15:val="{F34289BA-F39D-48F3-BB51-17812EE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files.constantcontact.com/759db90b001/fbde695a-14a7-4206-877d-bc7bf812911e.png?rdr=true" TargetMode="External"/><Relationship Id="rId4" Type="http://schemas.openxmlformats.org/officeDocument/2006/relationships/image" Target="https://imgssl.constantcontact.com/letters/images/sys/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Rizk</dc:creator>
  <cp:keywords/>
  <dc:description/>
  <cp:lastModifiedBy>Megan Rizk</cp:lastModifiedBy>
  <cp:revision>1</cp:revision>
  <dcterms:created xsi:type="dcterms:W3CDTF">2022-03-16T20:44:00Z</dcterms:created>
  <dcterms:modified xsi:type="dcterms:W3CDTF">2022-03-16T20:44:00Z</dcterms:modified>
</cp:coreProperties>
</file>